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4"/>
          <w:szCs w:val="24"/>
          <w:u w:val="single"/>
        </w:rPr>
      </w:pPr>
      <w:r>
        <w:rPr>
          <w:rFonts w:cs="Arial" w:ascii="Arial" w:hAnsi="Arial"/>
          <w:b/>
          <w:sz w:val="24"/>
          <w:szCs w:val="24"/>
          <w:u w:val="single"/>
        </w:rPr>
        <w:t>Protokoll des Arbeitstreffens „Runder Tisch OGS” vom 28.10.2016</w:t>
      </w:r>
    </w:p>
    <w:tbl>
      <w:tblPr>
        <w:tblStyle w:val="Tabellenraster"/>
        <w:tblW w:w="9640" w:type="dxa"/>
        <w:jc w:val="left"/>
        <w:tblInd w:w="-284" w:type="dxa"/>
        <w:tblCellMar>
          <w:top w:w="0" w:type="dxa"/>
          <w:left w:w="108" w:type="dxa"/>
          <w:bottom w:w="0" w:type="dxa"/>
          <w:right w:w="108" w:type="dxa"/>
        </w:tblCellMar>
        <w:tblLook w:firstRow="1" w:noVBand="1" w:lastRow="0" w:firstColumn="1" w:lastColumn="0" w:noHBand="0" w:val="04a0"/>
      </w:tblPr>
      <w:tblGrid>
        <w:gridCol w:w="9640"/>
      </w:tblGrid>
      <w:tr>
        <w:trPr>
          <w:trHeight w:val="1740" w:hRule="atLeast"/>
        </w:trPr>
        <w:tc>
          <w:tcPr>
            <w:tcW w:w="9640" w:type="dxa"/>
            <w:tcBorders>
              <w:top w:val="nil"/>
              <w:left w:val="nil"/>
              <w:bottom w:val="nil"/>
              <w:right w:val="nil"/>
              <w:insideH w:val="nil"/>
              <w:insideV w:val="nil"/>
            </w:tcBorders>
            <w:shd w:fill="auto" w:val="clear"/>
          </w:tcPr>
          <w:p>
            <w:pPr>
              <w:pStyle w:val="Normal"/>
              <w:spacing w:lineRule="auto" w:line="240" w:before="120" w:after="120"/>
              <w:jc w:val="both"/>
              <w:rPr>
                <w:rFonts w:ascii="Arial" w:hAnsi="Arial" w:cs="Arial"/>
                <w:b/>
                <w:b/>
              </w:rPr>
            </w:pPr>
            <w:r>
              <w:rPr>
                <w:rFonts w:cs="Arial" w:ascii="Arial" w:hAnsi="Arial"/>
                <w:b/>
              </w:rPr>
              <w:t xml:space="preserve">Anwesend: </w:t>
            </w:r>
          </w:p>
          <w:p>
            <w:pPr>
              <w:pStyle w:val="Normal"/>
              <w:spacing w:lineRule="auto" w:line="240" w:before="60" w:after="60"/>
              <w:jc w:val="both"/>
              <w:rPr>
                <w:rFonts w:ascii="Arial" w:hAnsi="Arial" w:cs="Arial"/>
              </w:rPr>
            </w:pPr>
            <w:r>
              <w:rPr>
                <w:rFonts w:cs="Arial" w:ascii="Arial" w:hAnsi="Arial"/>
              </w:rPr>
              <w:t>Schulleitung: Herr Spiekermann, Frau Merker</w:t>
            </w:r>
          </w:p>
          <w:p>
            <w:pPr>
              <w:pStyle w:val="Normal"/>
              <w:spacing w:lineRule="auto" w:line="240" w:before="60" w:after="60"/>
              <w:jc w:val="both"/>
              <w:rPr>
                <w:rFonts w:ascii="Arial" w:hAnsi="Arial" w:cs="Arial"/>
              </w:rPr>
            </w:pPr>
            <w:r>
              <w:rPr>
                <w:rFonts w:cs="Arial" w:ascii="Arial" w:hAnsi="Arial"/>
              </w:rPr>
              <w:t>OGS Leitung: Frau Hagen, Frau Hartmann</w:t>
            </w:r>
          </w:p>
          <w:p>
            <w:pPr>
              <w:pStyle w:val="Normal"/>
              <w:spacing w:lineRule="auto" w:line="240" w:before="60" w:after="60"/>
              <w:jc w:val="both"/>
              <w:rPr>
                <w:rFonts w:ascii="Arial" w:hAnsi="Arial" w:cs="Arial"/>
              </w:rPr>
            </w:pPr>
            <w:r>
              <w:rPr>
                <w:rFonts w:cs="Arial" w:ascii="Arial" w:hAnsi="Arial"/>
              </w:rPr>
              <w:t>Elternvertretung: Frau Große</w:t>
            </w:r>
          </w:p>
          <w:p>
            <w:pPr>
              <w:pStyle w:val="Normal"/>
              <w:spacing w:lineRule="auto" w:line="240" w:before="60" w:after="60"/>
              <w:jc w:val="both"/>
              <w:rPr>
                <w:rFonts w:ascii="Arial" w:hAnsi="Arial" w:cs="Arial"/>
              </w:rPr>
            </w:pPr>
            <w:r>
              <w:rPr>
                <w:rFonts w:cs="Arial" w:ascii="Arial" w:hAnsi="Arial"/>
              </w:rPr>
              <w:t>Träger AWO: Frau Wirbel</w:t>
            </w:r>
          </w:p>
          <w:p>
            <w:pPr>
              <w:pStyle w:val="Normal"/>
              <w:spacing w:lineRule="auto" w:line="240" w:before="60" w:after="60"/>
              <w:jc w:val="both"/>
              <w:rPr>
                <w:rFonts w:ascii="Arial" w:hAnsi="Arial" w:cs="Arial"/>
              </w:rPr>
            </w:pPr>
            <w:r>
              <w:rPr>
                <w:rFonts w:cs="Arial" w:ascii="Arial" w:hAnsi="Arial"/>
              </w:rPr>
            </w:r>
          </w:p>
        </w:tc>
      </w:tr>
      <w:tr>
        <w:trPr>
          <w:trHeight w:val="259" w:hRule="atLeast"/>
        </w:trPr>
        <w:tc>
          <w:tcPr>
            <w:tcW w:w="9640" w:type="dxa"/>
            <w:tcBorders>
              <w:top w:val="nil"/>
              <w:left w:val="nil"/>
              <w:bottom w:val="nil"/>
              <w:right w:val="nil"/>
              <w:insideH w:val="nil"/>
              <w:insideV w:val="nil"/>
            </w:tcBorders>
            <w:shd w:fill="auto" w:val="clear"/>
          </w:tcPr>
          <w:p>
            <w:pPr>
              <w:pStyle w:val="Normal"/>
              <w:spacing w:lineRule="auto" w:line="240" w:before="120" w:after="0"/>
              <w:jc w:val="both"/>
              <w:rPr>
                <w:rFonts w:ascii="Arial" w:hAnsi="Arial" w:cs="Arial"/>
                <w:b/>
                <w:b/>
              </w:rPr>
            </w:pPr>
            <w:r>
              <w:rPr>
                <w:rFonts w:cs="Arial" w:ascii="Arial" w:hAnsi="Arial"/>
                <w:b/>
              </w:rPr>
            </w:r>
          </w:p>
        </w:tc>
      </w:tr>
      <w:tr>
        <w:trPr>
          <w:trHeight w:val="379" w:hRule="atLeast"/>
        </w:trPr>
        <w:tc>
          <w:tcPr>
            <w:tcW w:w="9640" w:type="dxa"/>
            <w:tcBorders>
              <w:top w:val="nil"/>
              <w:left w:val="nil"/>
              <w:bottom w:val="nil"/>
              <w:right w:val="nil"/>
              <w:insideH w:val="nil"/>
              <w:insideV w:val="nil"/>
            </w:tcBorders>
            <w:shd w:fill="auto" w:val="clear"/>
          </w:tcPr>
          <w:p>
            <w:pPr>
              <w:pStyle w:val="Normal"/>
              <w:spacing w:lineRule="auto" w:line="240" w:before="120" w:after="0"/>
              <w:jc w:val="both"/>
              <w:rPr>
                <w:rFonts w:ascii="Arial" w:hAnsi="Arial" w:cs="Arial"/>
                <w:b/>
                <w:b/>
              </w:rPr>
            </w:pPr>
            <w:r>
              <w:rPr>
                <w:rFonts w:cs="Arial" w:ascii="Arial" w:hAnsi="Arial"/>
                <w:b/>
              </w:rPr>
              <w:t>TOP 1: Bauplanung OGS-Neubau – Schließung OGS griechische Schule</w:t>
            </w:r>
          </w:p>
        </w:tc>
      </w:tr>
      <w:tr>
        <w:trPr/>
        <w:tc>
          <w:tcPr>
            <w:tcW w:w="9640" w:type="dxa"/>
            <w:tcBorders>
              <w:top w:val="nil"/>
              <w:left w:val="nil"/>
              <w:bottom w:val="nil"/>
              <w:right w:val="nil"/>
              <w:insideH w:val="nil"/>
              <w:insideV w:val="nil"/>
            </w:tcBorders>
            <w:shd w:fill="auto" w:val="clear"/>
          </w:tcPr>
          <w:p>
            <w:pPr>
              <w:pStyle w:val="Normal"/>
              <w:spacing w:lineRule="auto" w:line="240" w:before="0" w:after="0"/>
              <w:ind w:left="34" w:hanging="0"/>
              <w:jc w:val="both"/>
              <w:rPr>
                <w:rFonts w:ascii="Arial" w:hAnsi="Arial" w:cs="Arial"/>
              </w:rPr>
            </w:pPr>
            <w:r>
              <w:rPr>
                <w:rFonts w:cs="Arial" w:ascii="Arial" w:hAnsi="Arial"/>
              </w:rPr>
              <w:t>Sobald die Stadt sich mit Bethel über den Kauf des Grundstückes „Parkplatz Pniel“ einig ist, kann der Neubau beginnen. Der Parplatz soll die Erweiterung bilden, gebaut wird jedoch auf dem vorhandenen Schulhof. Gelder für den Neubau liegen bereit.</w:t>
            </w:r>
          </w:p>
          <w:p>
            <w:pPr>
              <w:pStyle w:val="Normal"/>
              <w:spacing w:lineRule="auto" w:line="240" w:before="0" w:after="0"/>
              <w:ind w:left="34" w:hanging="0"/>
              <w:jc w:val="both"/>
              <w:rPr>
                <w:rFonts w:ascii="Arial" w:hAnsi="Arial" w:cs="Arial"/>
              </w:rPr>
            </w:pPr>
            <w:r>
              <w:rPr>
                <w:rFonts w:cs="Arial" w:ascii="Arial" w:hAnsi="Arial"/>
              </w:rPr>
              <w:t>Die OGS wird von jetzt 260 auf 300 Plätze mit dem Neubau erweitert. Damit wird sich auch nochmal die Auswahl des Essens angeschaut  und von der AWO eventuelle Umstrukturierungen der OGS beraten werden. Die AWO sagt deutlich, es solle nicht an der Arbeitsqualität am Kind gespart werden.</w:t>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rPr>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b/>
              </w:rPr>
              <w:t>TOP 2: Integrationshelfer</w:t>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pPr>
            <w:r>
              <w:rPr>
                <w:rFonts w:cs="Arial" w:ascii="Arial" w:hAnsi="Arial"/>
              </w:rPr>
              <w:t xml:space="preserve">Derzeit können Integrationshelfer und Schulbegleiter nur im Unterrichtsvormittag, nicht in der OGS Zeit eingesetzt werden. Eltern betroffen Kinder und die Schule bemängeln dies. Es gab in der Vergangenheit schon mehrfach Fälle, in denen hier nichts geändert werden konnte. Wünschenswert wäre entweder, dass die Schulbegleitungszeiten auch zur OGS- Betreuungszeit genehmigt wird . Alternativ ist denkbar, </w:t>
            </w:r>
            <w:r>
              <w:rPr>
                <w:rFonts w:cs="Arial" w:ascii="Arial" w:hAnsi="Arial"/>
              </w:rPr>
              <w:t xml:space="preserve"> Integrationshelfer eher in einem Pool </w:t>
            </w:r>
            <w:r>
              <w:rPr>
                <w:rFonts w:cs="Arial" w:ascii="Arial" w:hAnsi="Arial"/>
              </w:rPr>
              <w:t xml:space="preserve">der Schule insgesamt </w:t>
            </w:r>
            <w:r>
              <w:rPr>
                <w:rFonts w:cs="Arial" w:ascii="Arial" w:hAnsi="Arial"/>
              </w:rPr>
              <w:t>zur Verfügung gestellt zu bekommen</w:t>
            </w:r>
            <w:bookmarkStart w:id="0" w:name="_GoBack"/>
            <w:bookmarkEnd w:id="0"/>
            <w:r>
              <w:rPr>
                <w:rFonts w:cs="Arial" w:ascii="Arial" w:hAnsi="Arial"/>
              </w:rPr>
              <w:t>, anstatt für jedes Kind nur einen festgelegten Integrationshelfer zu benennen. So, dass diese individueller eingesetzt werden können, um auch Betreuung in VÜM- und OGS-Zeiten gewährleisten zu können.</w:t>
            </w:r>
          </w:p>
          <w:p>
            <w:pPr>
              <w:pStyle w:val="Normal"/>
              <w:spacing w:lineRule="auto" w:line="240" w:before="0" w:after="0"/>
              <w:jc w:val="both"/>
              <w:rPr>
                <w:rFonts w:ascii="Arial" w:hAnsi="Arial" w:cs="Arial"/>
              </w:rPr>
            </w:pPr>
            <w:r>
              <w:rPr>
                <w:rFonts w:cs="Arial" w:ascii="Arial" w:hAnsi="Arial"/>
              </w:rPr>
              <w:t>Dies muss mit der Stadt geklärt werden.</w:t>
            </w:r>
          </w:p>
        </w:tc>
      </w:tr>
      <w:tr>
        <w:trPr/>
        <w:tc>
          <w:tcPr>
            <w:tcW w:w="9640" w:type="dxa"/>
            <w:tcBorders>
              <w:top w:val="nil"/>
              <w:left w:val="nil"/>
              <w:bottom w:val="nil"/>
              <w:right w:val="nil"/>
              <w:insideH w:val="nil"/>
              <w:insideV w:val="nil"/>
            </w:tcBorders>
            <w:shd w:fill="auto" w:val="clear"/>
          </w:tcPr>
          <w:p>
            <w:pPr>
              <w:pStyle w:val="Normal"/>
              <w:spacing w:lineRule="auto" w:line="240" w:before="0" w:after="0"/>
              <w:ind w:left="34" w:hanging="0"/>
              <w:jc w:val="both"/>
              <w:rPr>
                <w:rFonts w:ascii="Arial" w:hAnsi="Arial" w:eastAsia="Times New Roman" w:cs="Arial"/>
              </w:rPr>
            </w:pPr>
            <w:r>
              <w:rPr>
                <w:rFonts w:eastAsia="Times New Roman" w:cs="Arial" w:ascii="Arial" w:hAnsi="Arial"/>
              </w:rPr>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b/>
                <w:b/>
              </w:rPr>
            </w:pPr>
            <w:r>
              <w:rPr>
                <w:rFonts w:cs="Arial" w:ascii="Arial" w:hAnsi="Arial"/>
                <w:b/>
              </w:rPr>
              <w:t>TOP 3: Mädchenchor</w:t>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rPr>
              <w:t>Hier kommt es immer wieder zu Beschwerden, dass der Chor sehr überlaufen sei. Es soll geklärt werden, ob Frau Litzke personelle Unterstützung durch AWO Mitarbeiter erhalten kann. Oder ob sich Eltern finden, die Frau Litzke unterstützen können, wie bereits im vergangenen Schuljahr. Eventuell muss überlegt werden, ob der Chor ganz offiziell wie eine AG ausgeschrieben und somit die Teilnehmerzahl begrenzt wird. Absprachen mit Frau Litzke dazu, müssen noch erfolgen.</w:t>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rPr>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b/>
                <w:b/>
              </w:rPr>
            </w:pPr>
            <w:r>
              <w:rPr>
                <w:rFonts w:cs="Arial" w:ascii="Arial" w:hAnsi="Arial"/>
                <w:b/>
              </w:rPr>
              <w:t>TOP 4: Anfrage auf Erweiterung der OGS-Öffnungszeiten zwischen Weihnachten und Neujahr</w:t>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rPr>
              <w:t>Es gab die Anfrage von Eltern, dass sie OGS zwischen Weihnachten und Neujahr geöffnet werden kann.  Es gab in der Vergangenheit  2 Versuche, diese Zeiten anzubieten, bei denen sich heraus kristallisiert hat, dass es aus pädagogischen und finanziellen Gründen nicht wieder eingeführt  werden soll.</w:t>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rPr>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b/>
                <w:b/>
              </w:rPr>
            </w:pPr>
            <w:r>
              <w:rPr>
                <w:rFonts w:cs="Arial" w:ascii="Arial" w:hAnsi="Arial"/>
                <w:b/>
              </w:rPr>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rPr>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rPr>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b/>
                <w:b/>
              </w:rPr>
            </w:pPr>
            <w:r>
              <w:rPr>
                <w:rFonts w:cs="Arial" w:ascii="Arial" w:hAnsi="Arial"/>
                <w:b/>
              </w:rPr>
            </w:r>
          </w:p>
        </w:tc>
      </w:tr>
      <w:tr>
        <w:trPr>
          <w:trHeight w:val="1194" w:hRule="atLeast"/>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rPr>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b/>
                <w:b/>
              </w:rPr>
            </w:pPr>
            <w:r>
              <w:rPr>
                <w:rFonts w:cs="Arial" w:ascii="Arial" w:hAnsi="Arial"/>
                <w:b/>
              </w:rPr>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b/>
                <w:b/>
              </w:rPr>
            </w:pPr>
            <w:r>
              <w:rPr>
                <w:rFonts w:cs="Arial" w:ascii="Arial" w:hAnsi="Arial"/>
                <w:b/>
              </w:rPr>
              <w:t>Termin: Runder Tisch</w:t>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rPr>
              <w:t xml:space="preserve">Das nächste Treffen des </w:t>
            </w:r>
            <w:r>
              <w:rPr>
                <w:rFonts w:cs="Arial" w:ascii="Arial" w:hAnsi="Arial"/>
                <w:b/>
              </w:rPr>
              <w:t>Runden Tisches findet am Freitag, den 20.01.2016 um 12:30 Uhr</w:t>
            </w:r>
            <w:r>
              <w:rPr>
                <w:rFonts w:cs="Arial" w:ascii="Arial" w:hAnsi="Arial"/>
              </w:rPr>
              <w:t xml:space="preserve"> statt. Bis dahin wünschen wir allen eine gute Zeit! </w:t>
            </w:r>
          </w:p>
        </w:tc>
      </w:tr>
      <w:tr>
        <w:trPr/>
        <w:tc>
          <w:tcPr>
            <w:tcW w:w="9640"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cs="Arial"/>
              </w:rPr>
            </w:pPr>
            <w:r>
              <w:rPr>
                <w:rFonts w:cs="Arial" w:ascii="Arial" w:hAnsi="Arial"/>
              </w:rPr>
            </w:r>
          </w:p>
        </w:tc>
      </w:tr>
    </w:tbl>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e-DE" w:eastAsia="de-DE"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de-DE" w:eastAsia="de-DE" w:bidi="ar-SA"/>
    </w:rPr>
  </w:style>
  <w:style w:type="character" w:styleId="DefaultParagraphFont" w:default="1">
    <w:name w:val="Default Paragraph Font"/>
    <w:uiPriority w:val="1"/>
    <w:semiHidden/>
    <w:unhideWhenUsed/>
    <w:qFormat/>
    <w:rPr/>
  </w:style>
  <w:style w:type="character" w:styleId="ListLabel1">
    <w:name w:val="ListLabel 1"/>
    <w:qFormat/>
    <w:rPr>
      <w:rFonts w:eastAsia="" w:cs="Arial"/>
    </w:rPr>
  </w:style>
  <w:style w:type="character" w:styleId="ListLabel2">
    <w:name w:val="ListLabel 2"/>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uiPriority w:val="34"/>
    <w:qFormat/>
    <w:rsid w:val="00670c1d"/>
    <w:pPr>
      <w:spacing w:before="0" w:after="200"/>
      <w:ind w:left="72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5c19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LibreOffice/5.0.3.2$Windows_x86 LibreOffice_project/e5f16313668ac592c1bfb310f4390624e3dbfb75</Application>
  <Paragraphs>18</Paragraphs>
  <Company>Corporate Center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2016-10-28T20:03:00Z</dcterms:created>
  <dc:creator>BECK96</dc:creator>
  <dc:language>de-DE</dc:language>
  <dcterms:modified xsi:type="dcterms:W3CDTF">2016-10-31T08:42:09Z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Corporate Center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